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numbering.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gif" ContentType="image/gif"/>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mc:AlternateContent>
          <mc:Choice Requires="wps">
            <w:drawing>
              <wp:anchor behindDoc="0" distT="0" distB="0" distL="635" distR="0" simplePos="0" locked="0" layoutInCell="1" allowOverlap="1" relativeHeight="3">
                <wp:simplePos x="0" y="0"/>
                <wp:positionH relativeFrom="column">
                  <wp:posOffset>723265</wp:posOffset>
                </wp:positionH>
                <wp:positionV relativeFrom="paragraph">
                  <wp:posOffset>-304165</wp:posOffset>
                </wp:positionV>
                <wp:extent cx="5584825" cy="857250"/>
                <wp:effectExtent l="635" t="0" r="0" b="0"/>
                <wp:wrapNone/>
                <wp:docPr id="1" name="Text Frame 1"/>
                <a:graphic xmlns:a="http://schemas.openxmlformats.org/drawingml/2006/main">
                  <a:graphicData uri="http://schemas.microsoft.com/office/word/2010/wordprocessingShape">
                    <wps:wsp>
                      <wps:cNvSpPr/>
                      <wps:spPr>
                        <a:xfrm>
                          <a:off x="0" y="0"/>
                          <a:ext cx="5584680" cy="857160"/>
                        </a:xfrm>
                        <a:prstGeom prst="rect">
                          <a:avLst/>
                        </a:prstGeom>
                        <a:noFill/>
                        <a:ln w="0">
                          <a:noFill/>
                        </a:ln>
                      </wps:spPr>
                      <wps:style>
                        <a:lnRef idx="0"/>
                        <a:fillRef idx="0"/>
                        <a:effectRef idx="0"/>
                        <a:fontRef idx="minor"/>
                      </wps:style>
                      <wps:txbx>
                        <w:txbxContent>
                          <w:p>
                            <w:pPr>
                              <w:pStyle w:val="FrameContents"/>
                              <w:bidi w:val="0"/>
                              <w:spacing w:lineRule="auto" w:line="240" w:before="0" w:after="0"/>
                              <w:jc w:val="center"/>
                              <w:rPr>
                                <w:rFonts w:ascii="Times New Roman" w:hAnsi="Times New Roman" w:cs="Times New Roman"/>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color w:val="0033CC"/>
                                <w:sz w:val="32"/>
                              </w:rPr>
                            </w:pPr>
                            <w:r>
                              <w:rPr>
                                <w:rFonts w:cs="Times New Roman" w:ascii="Times New Roman" w:hAnsi="Times New Roman"/>
                                <w:b/>
                                <w:color w:val="0033CC"/>
                                <w:sz w:val="32"/>
                              </w:rPr>
                              <w:t>CHICAGO SENATUS</w:t>
                            </w:r>
                          </w:p>
                          <w:p>
                            <w:pPr>
                              <w:pStyle w:val="FrameContents"/>
                              <w:bidi w:val="0"/>
                              <w:spacing w:before="0" w:after="0"/>
                              <w:jc w:val="center"/>
                              <w:rPr>
                                <w:color w:val="000000"/>
                              </w:rPr>
                            </w:pPr>
                            <w:r>
                              <w:rPr>
                                <w:color w:val="000000"/>
                                <w:sz w:val="20"/>
                                <w:szCs w:val="20"/>
                              </w:rPr>
                              <w:t>NORTHERN ILLINOIS, INDIANA, MINNESOTA, NORTH DAKOTA, SOUTH DAKOTA, WISCONSIN</w:t>
                            </w:r>
                          </w:p>
                        </w:txbxContent>
                      </wps:txbx>
                      <wps:bodyPr lIns="0" rIns="0" tIns="0" bIns="0" anchor="t">
                        <a:noAutofit/>
                      </wps:bodyPr>
                    </wps:wsp>
                  </a:graphicData>
                </a:graphic>
              </wp:anchor>
            </w:drawing>
          </mc:Choice>
          <mc:Fallback>
            <w:pict>
              <v:rect id="shape_0" ID="Text Frame 1" path="m0,0l-2147483645,0l-2147483645,-2147483646l0,-2147483646xe" stroked="f" o:allowincell="f" style="position:absolute;margin-left:56.95pt;margin-top:-23.95pt;width:439.7pt;height:67.45pt;mso-wrap-style:square;v-text-anchor:top">
                <v:fill o:detectmouseclick="t" on="false"/>
                <v:stroke color="#3465a4" joinstyle="round" endcap="flat"/>
                <v:textbox>
                  <w:txbxContent>
                    <w:p>
                      <w:pPr>
                        <w:pStyle w:val="FrameContents"/>
                        <w:bidi w:val="0"/>
                        <w:spacing w:lineRule="auto" w:line="240" w:before="0" w:after="0"/>
                        <w:jc w:val="center"/>
                        <w:rPr>
                          <w:rFonts w:ascii="Times New Roman" w:hAnsi="Times New Roman" w:cs="Times New Roman"/>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color w:val="0033CC"/>
                          <w:sz w:val="32"/>
                        </w:rPr>
                      </w:pPr>
                      <w:r>
                        <w:rPr>
                          <w:rFonts w:cs="Times New Roman" w:ascii="Times New Roman" w:hAnsi="Times New Roman"/>
                          <w:b/>
                          <w:color w:val="0033CC"/>
                          <w:sz w:val="32"/>
                        </w:rPr>
                        <w:t>CHICAGO SENATUS</w:t>
                      </w:r>
                    </w:p>
                    <w:p>
                      <w:pPr>
                        <w:pStyle w:val="FrameContents"/>
                        <w:bidi w:val="0"/>
                        <w:spacing w:before="0" w:after="0"/>
                        <w:jc w:val="center"/>
                        <w:rPr>
                          <w:color w:val="000000"/>
                        </w:rPr>
                      </w:pPr>
                      <w:r>
                        <w:rPr>
                          <w:color w:val="000000"/>
                          <w:sz w:val="20"/>
                          <w:szCs w:val="20"/>
                        </w:rPr>
                        <w:t>NORTHERN ILLINOIS, INDIANA, MINNESOTA, NORTH DAKOTA, SOUTH DAKOTA, WISCONSIN</w:t>
                      </w:r>
                    </w:p>
                  </w:txbxContent>
                </v:textbox>
                <w10:wrap type="none"/>
              </v:rect>
            </w:pict>
          </mc:Fallback>
        </mc:AlternateContent>
        <mc:AlternateContent>
          <mc:Choice Requires="wps">
            <w:drawing>
              <wp:anchor behindDoc="0" distT="9525" distB="9525" distL="10160" distR="8890" simplePos="0" locked="0" layoutInCell="1" allowOverlap="1" relativeHeight="5">
                <wp:simplePos x="0" y="0"/>
                <wp:positionH relativeFrom="column">
                  <wp:posOffset>708660</wp:posOffset>
                </wp:positionH>
                <wp:positionV relativeFrom="paragraph">
                  <wp:posOffset>680720</wp:posOffset>
                </wp:positionV>
                <wp:extent cx="5591175" cy="1062990"/>
                <wp:effectExtent l="10160" t="9525" r="8890" b="9525"/>
                <wp:wrapNone/>
                <wp:docPr id="2" name="Text Frame 2"/>
                <a:graphic xmlns:a="http://schemas.openxmlformats.org/drawingml/2006/main">
                  <a:graphicData uri="http://schemas.microsoft.com/office/word/2010/wordprocessingShape">
                    <wps:wsp>
                      <wps:cNvSpPr/>
                      <wps:spPr>
                        <a:xfrm>
                          <a:off x="0" y="0"/>
                          <a:ext cx="5591160" cy="1063080"/>
                        </a:xfrm>
                        <a:prstGeom prst="rect">
                          <a:avLst/>
                        </a:prstGeom>
                        <a:noFill/>
                        <a:ln w="18360">
                          <a:solidFill>
                            <a:srgbClr val="ff0000"/>
                          </a:solidFill>
                          <a:round/>
                        </a:ln>
                      </wps:spPr>
                      <wps:style>
                        <a:lnRef idx="0"/>
                        <a:fillRef idx="0"/>
                        <a:effectRef idx="0"/>
                        <a:fontRef idx="minor"/>
                      </wps:style>
                      <wps:txbx>
                        <w:txbxContent>
                          <w:p>
                            <w:pPr>
                              <w:pStyle w:val="FrameContents"/>
                              <w:bidi w:val="0"/>
                              <w:jc w:val="center"/>
                              <w:rPr>
                                <w:b/>
                                <w:bCs/>
                                <w:sz w:val="40"/>
                                <w:szCs w:val="40"/>
                              </w:rPr>
                            </w:pPr>
                            <w:r>
                              <w:rPr>
                                <w:b/>
                                <w:bCs/>
                                <w:color w:val="000000"/>
                                <w:sz w:val="40"/>
                                <w:szCs w:val="40"/>
                              </w:rPr>
                              <w:t>ANNUAL PLANNING CHECKLIST</w:t>
                            </w:r>
                          </w:p>
                          <w:p>
                            <w:pPr>
                              <w:pStyle w:val="FrameContents"/>
                              <w:bidi w:val="0"/>
                              <w:jc w:val="center"/>
                              <w:rPr>
                                <w:b/>
                                <w:bCs/>
                                <w:sz w:val="40"/>
                                <w:szCs w:val="40"/>
                              </w:rPr>
                            </w:pPr>
                            <w:r>
                              <w:rPr>
                                <w:b/>
                                <w:bCs/>
                                <w:color w:val="000000"/>
                                <w:sz w:val="40"/>
                                <w:szCs w:val="40"/>
                              </w:rPr>
                              <w:t xml:space="preserve"> </w:t>
                            </w:r>
                            <w:r>
                              <w:rPr>
                                <w:b/>
                                <w:bCs/>
                                <w:color w:val="000000"/>
                                <w:sz w:val="40"/>
                                <w:szCs w:val="40"/>
                              </w:rPr>
                              <w:t>PRAESIDIUM/COUNCIL</w:t>
                            </w:r>
                          </w:p>
                          <w:p>
                            <w:pPr>
                              <w:pStyle w:val="FrameContents"/>
                              <w:bidi w:val="0"/>
                              <w:jc w:val="center"/>
                              <w:rPr>
                                <w:color w:val="000000"/>
                              </w:rPr>
                            </w:pPr>
                            <w:r>
                              <w:rPr>
                                <w:color w:val="000000"/>
                                <w:sz w:val="20"/>
                                <w:szCs w:val="20"/>
                              </w:rPr>
                              <w:t xml:space="preserve">We must </w:t>
                            </w:r>
                            <w:r>
                              <w:rPr>
                                <w:b/>
                                <w:bCs/>
                                <w:color w:val="000000"/>
                                <w:sz w:val="20"/>
                                <w:szCs w:val="20"/>
                              </w:rPr>
                              <w:t>THINK</w:t>
                            </w:r>
                            <w:r>
                              <w:rPr>
                                <w:color w:val="000000"/>
                                <w:sz w:val="20"/>
                                <w:szCs w:val="20"/>
                              </w:rPr>
                              <w:t xml:space="preserve"> and </w:t>
                            </w:r>
                            <w:r>
                              <w:rPr>
                                <w:b/>
                                <w:bCs/>
                                <w:color w:val="000000"/>
                                <w:sz w:val="20"/>
                                <w:szCs w:val="20"/>
                              </w:rPr>
                              <w:t>PLAN</w:t>
                            </w:r>
                            <w:r>
                              <w:rPr>
                                <w:color w:val="000000"/>
                                <w:sz w:val="20"/>
                                <w:szCs w:val="20"/>
                              </w:rPr>
                              <w:t xml:space="preserve"> as if everything depended on it.” “So when we plan, it should be with faith, ambitiously, a little beyond what we judge to be our reach, so as to leave some room for Him to operate” (Frank Duff: Thinking in Christ: Mary Shall Reign: 18)</w:t>
                            </w:r>
                          </w:p>
                        </w:txbxContent>
                      </wps:txbx>
                      <wps:bodyPr lIns="9360" rIns="9360" tIns="9360" bIns="9360" anchor="t">
                        <a:noAutofit/>
                      </wps:bodyPr>
                    </wps:wsp>
                  </a:graphicData>
                </a:graphic>
              </wp:anchor>
            </w:drawing>
          </mc:Choice>
          <mc:Fallback>
            <w:pict>
              <v:rect id="shape_0" ID="Text Frame 2" path="m0,0l-2147483645,0l-2147483645,-2147483646l0,-2147483646xe" stroked="t" o:allowincell="f" style="position:absolute;margin-left:55.8pt;margin-top:53.6pt;width:440.2pt;height:83.65pt;mso-wrap-style:square;v-text-anchor:top">
                <v:fill o:detectmouseclick="t" on="false"/>
                <v:stroke color="red" weight="18360" joinstyle="round" endcap="flat"/>
                <v:textbox>
                  <w:txbxContent>
                    <w:p>
                      <w:pPr>
                        <w:pStyle w:val="FrameContents"/>
                        <w:bidi w:val="0"/>
                        <w:jc w:val="center"/>
                        <w:rPr>
                          <w:b/>
                          <w:bCs/>
                          <w:sz w:val="40"/>
                          <w:szCs w:val="40"/>
                        </w:rPr>
                      </w:pPr>
                      <w:r>
                        <w:rPr>
                          <w:b/>
                          <w:bCs/>
                          <w:color w:val="000000"/>
                          <w:sz w:val="40"/>
                          <w:szCs w:val="40"/>
                        </w:rPr>
                        <w:t>ANNUAL PLANNING CHECKLIST</w:t>
                      </w:r>
                    </w:p>
                    <w:p>
                      <w:pPr>
                        <w:pStyle w:val="FrameContents"/>
                        <w:bidi w:val="0"/>
                        <w:jc w:val="center"/>
                        <w:rPr>
                          <w:b/>
                          <w:bCs/>
                          <w:sz w:val="40"/>
                          <w:szCs w:val="40"/>
                        </w:rPr>
                      </w:pPr>
                      <w:r>
                        <w:rPr>
                          <w:b/>
                          <w:bCs/>
                          <w:color w:val="000000"/>
                          <w:sz w:val="40"/>
                          <w:szCs w:val="40"/>
                        </w:rPr>
                        <w:t xml:space="preserve"> </w:t>
                      </w:r>
                      <w:r>
                        <w:rPr>
                          <w:b/>
                          <w:bCs/>
                          <w:color w:val="000000"/>
                          <w:sz w:val="40"/>
                          <w:szCs w:val="40"/>
                        </w:rPr>
                        <w:t>PRAESIDIUM/COUNCIL</w:t>
                      </w:r>
                    </w:p>
                    <w:p>
                      <w:pPr>
                        <w:pStyle w:val="FrameContents"/>
                        <w:bidi w:val="0"/>
                        <w:jc w:val="center"/>
                        <w:rPr>
                          <w:color w:val="000000"/>
                        </w:rPr>
                      </w:pPr>
                      <w:r>
                        <w:rPr>
                          <w:color w:val="000000"/>
                          <w:sz w:val="20"/>
                          <w:szCs w:val="20"/>
                        </w:rPr>
                        <w:t xml:space="preserve">We must </w:t>
                      </w:r>
                      <w:r>
                        <w:rPr>
                          <w:b/>
                          <w:bCs/>
                          <w:color w:val="000000"/>
                          <w:sz w:val="20"/>
                          <w:szCs w:val="20"/>
                        </w:rPr>
                        <w:t>THINK</w:t>
                      </w:r>
                      <w:r>
                        <w:rPr>
                          <w:color w:val="000000"/>
                          <w:sz w:val="20"/>
                          <w:szCs w:val="20"/>
                        </w:rPr>
                        <w:t xml:space="preserve"> and </w:t>
                      </w:r>
                      <w:r>
                        <w:rPr>
                          <w:b/>
                          <w:bCs/>
                          <w:color w:val="000000"/>
                          <w:sz w:val="20"/>
                          <w:szCs w:val="20"/>
                        </w:rPr>
                        <w:t>PLAN</w:t>
                      </w:r>
                      <w:r>
                        <w:rPr>
                          <w:color w:val="000000"/>
                          <w:sz w:val="20"/>
                          <w:szCs w:val="20"/>
                        </w:rPr>
                        <w:t xml:space="preserve"> as if everything depended on it.” “So when we plan, it should be with faith, ambitiously, a little beyond what we judge to be our reach, so as to leave some room for Him to operate” (Frank Duff: Thinking in Christ: Mary Shall Reign: 18)</w:t>
                      </w:r>
                    </w:p>
                  </w:txbxContent>
                </v:textbox>
                <w10:wrap type="none"/>
              </v:rect>
            </w:pict>
          </mc:Fallback>
        </mc:AlternateContent>
        <w:drawing>
          <wp:inline distT="0" distB="0" distL="0" distR="0">
            <wp:extent cx="642620" cy="1632585"/>
            <wp:effectExtent l="0" t="0" r="0" b="0"/>
            <wp:docPr id="3" name="Image2" descr="http://legionofmaryd7.com/vexill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http://legionofmaryd7.com/vexillum.jpg"/>
                    <pic:cNvPicPr>
                      <a:picLocks noChangeAspect="1" noChangeArrowheads="1"/>
                    </pic:cNvPicPr>
                  </pic:nvPicPr>
                  <pic:blipFill>
                    <a:blip r:embed="rId2"/>
                    <a:stretch>
                      <a:fillRect/>
                    </a:stretch>
                  </pic:blipFill>
                  <pic:spPr bwMode="auto">
                    <a:xfrm>
                      <a:off x="0" y="0"/>
                      <a:ext cx="642620" cy="1632585"/>
                    </a:xfrm>
                    <a:prstGeom prst="rect">
                      <a:avLst/>
                    </a:prstGeom>
                  </pic:spPr>
                </pic:pic>
              </a:graphicData>
            </a:graphic>
          </wp:inline>
        </w:drawing>
      </w:r>
    </w:p>
    <w:p>
      <w:pPr>
        <w:pStyle w:val="Normal"/>
        <w:bidi w:val="0"/>
        <w:jc w:val="left"/>
        <w:rPr/>
      </w:pPr>
      <w:r>
        <w:rPr/>
      </w:r>
    </w:p>
    <w:p>
      <w:pPr>
        <w:pStyle w:val="Normal"/>
        <w:bidi w:val="0"/>
        <w:jc w:val="left"/>
        <w:rPr/>
      </w:pPr>
      <w:r>
        <w:rPr/>
      </w:r>
    </w:p>
    <w:tbl>
      <w:tblPr>
        <w:tblW w:w="11250" w:type="dxa"/>
        <w:jc w:val="left"/>
        <w:tblInd w:w="-629" w:type="dxa"/>
        <w:tblLayout w:type="fixed"/>
        <w:tblCellMar>
          <w:top w:w="86" w:type="dxa"/>
          <w:left w:w="86" w:type="dxa"/>
          <w:bottom w:w="86" w:type="dxa"/>
          <w:right w:w="86" w:type="dxa"/>
        </w:tblCellMar>
      </w:tblPr>
      <w:tblGrid>
        <w:gridCol w:w="1980"/>
        <w:gridCol w:w="9269"/>
      </w:tblGrid>
      <w:tr>
        <w:trPr/>
        <w:tc>
          <w:tcPr>
            <w:tcW w:w="11249" w:type="dxa"/>
            <w:gridSpan w:val="2"/>
            <w:tcBorders>
              <w:top w:val="single" w:sz="4" w:space="0" w:color="000000"/>
              <w:left w:val="single" w:sz="4" w:space="0" w:color="000000"/>
              <w:bottom w:val="single" w:sz="4" w:space="0" w:color="000000"/>
              <w:right w:val="single" w:sz="4" w:space="0" w:color="000000"/>
            </w:tcBorders>
          </w:tcPr>
          <w:p>
            <w:pPr>
              <w:pStyle w:val="TableContents"/>
              <w:widowControl w:val="false"/>
              <w:bidi w:val="0"/>
              <w:jc w:val="left"/>
              <w:rPr>
                <w:sz w:val="20"/>
                <w:szCs w:val="20"/>
              </w:rPr>
            </w:pPr>
            <w:r>
              <w:rPr>
                <w:sz w:val="20"/>
                <w:szCs w:val="20"/>
              </w:rPr>
              <w:t xml:space="preserve">Source: </w:t>
            </w:r>
            <w:hyperlink r:id="rId3">
              <w:r>
                <w:rPr>
                  <w:rStyle w:val="Hyperlink"/>
                  <w:sz w:val="20"/>
                  <w:szCs w:val="20"/>
                </w:rPr>
                <w:t>https://www.legionofmary.ie/news/article/concilium-bulletin-november-2023</w:t>
              </w:r>
            </w:hyperlink>
            <w:r>
              <w:rPr>
                <w:sz w:val="20"/>
                <w:szCs w:val="20"/>
              </w:rPr>
              <w:t xml:space="preserve">  Extract from Some Handbook Reflections pp 25-27</w:t>
            </w:r>
          </w:p>
        </w:tc>
      </w:tr>
      <w:tr>
        <w:trPr/>
        <w:tc>
          <w:tcPr>
            <w:tcW w:w="1980" w:type="dxa"/>
            <w:tcBorders>
              <w:left w:val="single" w:sz="4" w:space="0" w:color="000000"/>
              <w:bottom w:val="single" w:sz="4" w:space="0" w:color="000000"/>
            </w:tcBorders>
          </w:tcPr>
          <w:p>
            <w:pPr>
              <w:pStyle w:val="TableContents"/>
              <w:widowControl w:val="false"/>
              <w:bidi w:val="0"/>
              <w:jc w:val="center"/>
              <w:rPr>
                <w:b/>
                <w:bCs/>
                <w:sz w:val="28"/>
                <w:szCs w:val="28"/>
              </w:rPr>
            </w:pPr>
            <w:r>
              <w:rPr>
                <w:b/>
                <w:bCs/>
                <w:sz w:val="28"/>
                <w:szCs w:val="28"/>
              </w:rPr>
            </w:r>
          </w:p>
          <w:p>
            <w:pPr>
              <w:pStyle w:val="TableContents"/>
              <w:widowControl w:val="false"/>
              <w:bidi w:val="0"/>
              <w:jc w:val="center"/>
              <w:rPr>
                <w:b/>
                <w:bCs/>
                <w:sz w:val="28"/>
                <w:szCs w:val="28"/>
              </w:rPr>
            </w:pPr>
            <w:r>
              <w:rPr>
                <w:b/>
                <w:bCs/>
                <w:sz w:val="28"/>
                <w:szCs w:val="28"/>
              </w:rPr>
            </w:r>
          </w:p>
          <w:p>
            <w:pPr>
              <w:pStyle w:val="TableContents"/>
              <w:widowControl w:val="false"/>
              <w:bidi w:val="0"/>
              <w:jc w:val="center"/>
              <w:rPr>
                <w:b/>
                <w:bCs/>
                <w:sz w:val="28"/>
                <w:szCs w:val="28"/>
              </w:rPr>
            </w:pPr>
            <w:r>
              <w:rPr>
                <w:b/>
                <w:bCs/>
                <w:sz w:val="28"/>
                <w:szCs w:val="28"/>
              </w:rPr>
              <w:t>Annual Planning Meeting</w:t>
            </w:r>
          </w:p>
          <w:p>
            <w:pPr>
              <w:pStyle w:val="TableContents"/>
              <w:widowControl w:val="false"/>
              <w:bidi w:val="0"/>
              <w:jc w:val="center"/>
              <w:rPr>
                <w:b w:val="false"/>
                <w:bCs w:val="false"/>
                <w:i w:val="false"/>
                <w:i w:val="false"/>
                <w:iCs w:val="false"/>
                <w:sz w:val="20"/>
                <w:szCs w:val="20"/>
              </w:rPr>
            </w:pPr>
            <w:r>
              <w:rPr>
                <w:b w:val="false"/>
                <w:bCs w:val="false"/>
                <w:i w:val="false"/>
                <w:iCs w:val="false"/>
                <w:sz w:val="20"/>
                <w:szCs w:val="20"/>
              </w:rPr>
            </w:r>
          </w:p>
          <w:p>
            <w:pPr>
              <w:pStyle w:val="TableContents"/>
              <w:widowControl w:val="false"/>
              <w:bidi w:val="0"/>
              <w:jc w:val="center"/>
              <w:rPr>
                <w:b/>
                <w:bCs/>
                <w:sz w:val="28"/>
                <w:szCs w:val="28"/>
              </w:rPr>
            </w:pPr>
            <w:r>
              <w:rPr>
                <w:b/>
                <w:bCs/>
                <w:sz w:val="28"/>
                <w:szCs w:val="28"/>
              </w:rPr>
            </w:r>
          </w:p>
        </w:tc>
        <w:tc>
          <w:tcPr>
            <w:tcW w:w="9269" w:type="dxa"/>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hanging="0" w:left="89" w:right="0"/>
              <w:jc w:val="left"/>
              <w:rPr>
                <w:b w:val="false"/>
                <w:i w:val="false"/>
                <w:i w:val="false"/>
                <w:caps w:val="false"/>
                <w:smallCaps w:val="false"/>
                <w:color w:val="0A0A0A"/>
                <w:spacing w:val="0"/>
                <w:sz w:val="22"/>
                <w:szCs w:val="22"/>
              </w:rPr>
            </w:pPr>
            <w:r>
              <w:rPr>
                <w:b w:val="false"/>
                <w:i w:val="false"/>
                <w:caps w:val="false"/>
                <w:smallCaps w:val="false"/>
                <w:color w:val="0A0A0A"/>
                <w:spacing w:val="0"/>
                <w:sz w:val="22"/>
                <w:szCs w:val="22"/>
              </w:rPr>
              <w:t xml:space="preserve">Officers to approach the meeting in a spirit of </w:t>
            </w:r>
            <w:r>
              <w:rPr>
                <w:b/>
                <w:bCs/>
                <w:i w:val="false"/>
                <w:caps w:val="false"/>
                <w:smallCaps w:val="false"/>
                <w:color w:val="0A0A0A"/>
                <w:spacing w:val="0"/>
                <w:sz w:val="22"/>
                <w:szCs w:val="22"/>
              </w:rPr>
              <w:t>FAITH</w:t>
            </w:r>
            <w:r>
              <w:rPr>
                <w:b w:val="false"/>
                <w:i w:val="false"/>
                <w:caps w:val="false"/>
                <w:smallCaps w:val="false"/>
                <w:color w:val="0A0A0A"/>
                <w:spacing w:val="0"/>
                <w:sz w:val="22"/>
                <w:szCs w:val="22"/>
              </w:rPr>
              <w:t xml:space="preserve"> and </w:t>
            </w:r>
            <w:r>
              <w:rPr>
                <w:b/>
                <w:bCs/>
                <w:i w:val="false"/>
                <w:caps w:val="false"/>
                <w:smallCaps w:val="false"/>
                <w:color w:val="0A0A0A"/>
                <w:spacing w:val="0"/>
                <w:sz w:val="22"/>
                <w:szCs w:val="22"/>
              </w:rPr>
              <w:t>UNION</w:t>
            </w:r>
            <w:r>
              <w:rPr>
                <w:b w:val="false"/>
                <w:i w:val="false"/>
                <w:caps w:val="false"/>
                <w:smallCaps w:val="false"/>
                <w:color w:val="0A0A0A"/>
                <w:spacing w:val="0"/>
                <w:sz w:val="22"/>
                <w:szCs w:val="22"/>
              </w:rPr>
              <w:t xml:space="preserve"> with </w:t>
            </w:r>
            <w:r>
              <w:rPr>
                <w:b/>
                <w:bCs/>
                <w:i w:val="false"/>
                <w:caps w:val="false"/>
                <w:smallCaps w:val="false"/>
                <w:color w:val="0A0A0A"/>
                <w:spacing w:val="0"/>
                <w:sz w:val="22"/>
                <w:szCs w:val="22"/>
              </w:rPr>
              <w:t>MARY</w:t>
            </w:r>
            <w:r>
              <w:rPr>
                <w:b w:val="false"/>
                <w:i w:val="false"/>
                <w:caps w:val="false"/>
                <w:smallCaps w:val="false"/>
                <w:color w:val="0A0A0A"/>
                <w:spacing w:val="0"/>
                <w:sz w:val="22"/>
                <w:szCs w:val="22"/>
              </w:rPr>
              <w:t xml:space="preserve"> and conscious of Brother Duff’s words, quoted above, they will be giving scope for the </w:t>
            </w:r>
            <w:r>
              <w:rPr>
                <w:b/>
                <w:bCs/>
                <w:i w:val="false"/>
                <w:caps w:val="false"/>
                <w:smallCaps w:val="false"/>
                <w:color w:val="0A0A0A"/>
                <w:spacing w:val="0"/>
                <w:sz w:val="22"/>
                <w:szCs w:val="22"/>
              </w:rPr>
              <w:t>HOLY SPIRIT</w:t>
            </w:r>
            <w:r>
              <w:rPr>
                <w:b w:val="false"/>
                <w:i w:val="false"/>
                <w:caps w:val="false"/>
                <w:smallCaps w:val="false"/>
                <w:color w:val="0A0A0A"/>
                <w:spacing w:val="0"/>
                <w:sz w:val="22"/>
                <w:szCs w:val="22"/>
              </w:rPr>
              <w:t xml:space="preserve"> to work through them.</w:t>
            </w:r>
          </w:p>
          <w:p>
            <w:pPr>
              <w:pStyle w:val="TableContents"/>
              <w:widowControl w:val="false"/>
              <w:numPr>
                <w:ilvl w:val="0"/>
                <w:numId w:val="0"/>
              </w:numPr>
              <w:suppressLineNumbers/>
              <w:tabs>
                <w:tab w:val="clear" w:pos="709"/>
              </w:tabs>
              <w:suppressAutoHyphens w:val="true"/>
              <w:overflowPunct w:val="false"/>
              <w:bidi w:val="0"/>
              <w:spacing w:before="0" w:after="0"/>
              <w:ind w:hanging="0" w:left="89" w:right="0"/>
              <w:jc w:val="left"/>
              <w:rPr>
                <w:b w:val="false"/>
                <w:i w:val="false"/>
                <w:i w:val="false"/>
                <w:caps w:val="false"/>
                <w:smallCaps w:val="false"/>
                <w:color w:val="0A0A0A"/>
                <w:spacing w:val="0"/>
              </w:rPr>
            </w:pPr>
            <w:r>
              <w:rPr>
                <w:b w:val="false"/>
                <w:i w:val="false"/>
                <w:caps w:val="false"/>
                <w:smallCaps w:val="false"/>
                <w:color w:val="0A0A0A"/>
                <w:spacing w:val="0"/>
              </w:rPr>
            </w:r>
          </w:p>
          <w:p>
            <w:pPr>
              <w:pStyle w:val="TableContents"/>
              <w:widowControl w:val="false"/>
              <w:numPr>
                <w:ilvl w:val="0"/>
                <w:numId w:val="5"/>
              </w:numPr>
              <w:suppressLineNumbers/>
              <w:tabs>
                <w:tab w:val="clear" w:pos="709"/>
              </w:tabs>
              <w:suppressAutoHyphens w:val="true"/>
              <w:overflowPunct w:val="false"/>
              <w:bidi w:val="0"/>
              <w:spacing w:before="0" w:after="0"/>
              <w:ind w:hanging="360" w:left="449" w:right="0"/>
              <w:jc w:val="left"/>
              <w:rPr>
                <w:sz w:val="22"/>
                <w:szCs w:val="22"/>
              </w:rPr>
            </w:pPr>
            <w:r>
              <w:rPr>
                <w:b w:val="false"/>
                <w:i w:val="false"/>
                <w:caps w:val="false"/>
                <w:smallCaps w:val="false"/>
                <w:color w:val="0A0A0A"/>
                <w:spacing w:val="0"/>
                <w:sz w:val="22"/>
                <w:szCs w:val="22"/>
              </w:rPr>
              <w:t>Plan for the year ahead.</w:t>
            </w:r>
          </w:p>
          <w:p>
            <w:pPr>
              <w:pStyle w:val="TableContents"/>
              <w:widowControl w:val="false"/>
              <w:numPr>
                <w:ilvl w:val="0"/>
                <w:numId w:val="5"/>
              </w:numPr>
              <w:suppressLineNumbers/>
              <w:tabs>
                <w:tab w:val="clear" w:pos="709"/>
              </w:tabs>
              <w:suppressAutoHyphens w:val="true"/>
              <w:overflowPunct w:val="false"/>
              <w:bidi w:val="0"/>
              <w:spacing w:before="0" w:after="0"/>
              <w:ind w:hanging="360" w:left="449" w:right="0"/>
              <w:jc w:val="left"/>
              <w:rPr>
                <w:b w:val="false"/>
                <w:i w:val="false"/>
                <w:i w:val="false"/>
                <w:caps w:val="false"/>
                <w:smallCaps w:val="false"/>
                <w:color w:val="0A0A0A"/>
                <w:spacing w:val="0"/>
                <w:sz w:val="22"/>
                <w:szCs w:val="22"/>
              </w:rPr>
            </w:pPr>
            <w:r>
              <w:rPr>
                <w:b w:val="false"/>
                <w:i w:val="false"/>
                <w:caps w:val="false"/>
                <w:smallCaps w:val="false"/>
                <w:color w:val="0A0A0A"/>
                <w:spacing w:val="0"/>
                <w:sz w:val="22"/>
                <w:szCs w:val="22"/>
              </w:rPr>
              <w:t>Allow sufficient time for the meeting so that ideas and suggestions can be well discussed.</w:t>
            </w:r>
          </w:p>
          <w:p>
            <w:pPr>
              <w:pStyle w:val="TableContents"/>
              <w:widowControl w:val="false"/>
              <w:numPr>
                <w:ilvl w:val="0"/>
                <w:numId w:val="5"/>
              </w:numPr>
              <w:suppressLineNumbers/>
              <w:tabs>
                <w:tab w:val="clear" w:pos="709"/>
              </w:tabs>
              <w:suppressAutoHyphens w:val="true"/>
              <w:overflowPunct w:val="false"/>
              <w:bidi w:val="0"/>
              <w:spacing w:before="0" w:after="0"/>
              <w:ind w:hanging="360" w:left="449" w:right="0"/>
              <w:jc w:val="left"/>
              <w:rPr>
                <w:b w:val="false"/>
                <w:i w:val="false"/>
                <w:i w:val="false"/>
                <w:caps w:val="false"/>
                <w:smallCaps w:val="false"/>
                <w:color w:val="0A0A0A"/>
                <w:spacing w:val="0"/>
                <w:sz w:val="22"/>
                <w:szCs w:val="22"/>
              </w:rPr>
            </w:pPr>
            <w:r>
              <w:rPr>
                <w:b w:val="false"/>
                <w:i w:val="false"/>
                <w:caps w:val="false"/>
                <w:smallCaps w:val="false"/>
                <w:color w:val="0A0A0A"/>
                <w:spacing w:val="0"/>
                <w:sz w:val="22"/>
                <w:szCs w:val="22"/>
              </w:rPr>
              <w:t>President and/or other other officers to submit suggestions in advance for the agenda of this meeting.</w:t>
            </w:r>
          </w:p>
          <w:p>
            <w:pPr>
              <w:pStyle w:val="TableContents"/>
              <w:widowControl w:val="false"/>
              <w:numPr>
                <w:ilvl w:val="0"/>
                <w:numId w:val="5"/>
              </w:numPr>
              <w:suppressLineNumbers/>
              <w:tabs>
                <w:tab w:val="clear" w:pos="709"/>
              </w:tabs>
              <w:suppressAutoHyphens w:val="true"/>
              <w:overflowPunct w:val="false"/>
              <w:bidi w:val="0"/>
              <w:spacing w:before="0" w:after="0"/>
              <w:ind w:hanging="360" w:left="449" w:right="0"/>
              <w:jc w:val="left"/>
              <w:rPr>
                <w:b w:val="false"/>
                <w:i w:val="false"/>
                <w:i w:val="false"/>
                <w:caps w:val="false"/>
                <w:smallCaps w:val="false"/>
                <w:color w:val="0A0A0A"/>
                <w:spacing w:val="0"/>
                <w:sz w:val="22"/>
                <w:szCs w:val="22"/>
              </w:rPr>
            </w:pPr>
            <w:r>
              <w:rPr>
                <w:b w:val="false"/>
                <w:i w:val="false"/>
                <w:caps w:val="false"/>
                <w:smallCaps w:val="false"/>
                <w:color w:val="0A0A0A"/>
                <w:spacing w:val="0"/>
                <w:sz w:val="22"/>
                <w:szCs w:val="22"/>
              </w:rPr>
              <w:t>Plans discussed to be communicated to the praesidium or council for consideration, and if  approved, can then be put into effect through the weekly praesidium meeting or the monthly council meeting.</w:t>
            </w:r>
          </w:p>
          <w:p>
            <w:pPr>
              <w:pStyle w:val="TableContents"/>
              <w:widowControl w:val="false"/>
              <w:numPr>
                <w:ilvl w:val="0"/>
                <w:numId w:val="5"/>
              </w:numPr>
              <w:suppressLineNumbers/>
              <w:tabs>
                <w:tab w:val="clear" w:pos="709"/>
              </w:tabs>
              <w:suppressAutoHyphens w:val="true"/>
              <w:overflowPunct w:val="false"/>
              <w:bidi w:val="0"/>
              <w:spacing w:before="0" w:after="0"/>
              <w:ind w:hanging="360" w:left="449" w:right="0"/>
              <w:jc w:val="left"/>
              <w:rPr>
                <w:sz w:val="22"/>
                <w:szCs w:val="22"/>
              </w:rPr>
            </w:pPr>
            <w:r>
              <w:rPr>
                <w:b w:val="false"/>
                <w:i w:val="false"/>
                <w:caps w:val="false"/>
                <w:smallCaps w:val="false"/>
                <w:color w:val="0A0A0A"/>
                <w:spacing w:val="0"/>
                <w:sz w:val="22"/>
                <w:szCs w:val="22"/>
              </w:rPr>
              <w:t>For councils, pre-council meeting provides opportunities for follow-up and on-going planning.</w:t>
            </w:r>
          </w:p>
        </w:tc>
      </w:tr>
      <w:tr>
        <w:trPr/>
        <w:tc>
          <w:tcPr>
            <w:tcW w:w="1980" w:type="dxa"/>
            <w:tcBorders>
              <w:left w:val="single" w:sz="4" w:space="0" w:color="000000"/>
              <w:bottom w:val="single" w:sz="4" w:space="0" w:color="000000"/>
            </w:tcBorders>
          </w:tcPr>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center"/>
              <w:rPr>
                <w:b/>
                <w:bCs/>
                <w:sz w:val="28"/>
                <w:szCs w:val="28"/>
              </w:rPr>
            </w:pPr>
            <w:r>
              <w:rPr>
                <w:b/>
                <w:bCs/>
                <w:sz w:val="28"/>
                <w:szCs w:val="28"/>
              </w:rPr>
              <w:t>Planning</w:t>
            </w:r>
          </w:p>
          <w:p>
            <w:pPr>
              <w:pStyle w:val="TableContents"/>
              <w:widowControl w:val="false"/>
              <w:bidi w:val="0"/>
              <w:jc w:val="center"/>
              <w:rPr>
                <w:b/>
                <w:bCs/>
                <w:sz w:val="28"/>
                <w:szCs w:val="28"/>
              </w:rPr>
            </w:pPr>
            <w:r>
              <w:rPr>
                <w:b/>
                <w:bCs/>
                <w:sz w:val="28"/>
                <w:szCs w:val="28"/>
              </w:rPr>
              <w:t>for the Praesidium</w:t>
            </w:r>
          </w:p>
          <w:p>
            <w:pPr>
              <w:pStyle w:val="TableContents"/>
              <w:widowControl w:val="false"/>
              <w:bidi w:val="0"/>
              <w:jc w:val="left"/>
              <w:rPr/>
            </w:pPr>
            <w:r>
              <w:rPr/>
            </w:r>
          </w:p>
        </w:tc>
        <w:tc>
          <w:tcPr>
            <w:tcW w:w="9269" w:type="dxa"/>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suppressAutoHyphens w:val="true"/>
              <w:overflowPunct w:val="false"/>
              <w:bidi w:val="0"/>
              <w:spacing w:before="0" w:after="0"/>
              <w:ind w:hanging="0" w:left="89" w:right="-36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 xml:space="preserve">The development of the members and of the work is a </w:t>
            </w:r>
            <w:r>
              <w:rPr>
                <w:b/>
                <w:bCs/>
                <w:i w:val="false"/>
                <w:caps w:val="false"/>
                <w:smallCaps w:val="false"/>
                <w:color w:val="0A0A0A"/>
                <w:spacing w:val="0"/>
                <w:sz w:val="22"/>
                <w:szCs w:val="22"/>
              </w:rPr>
              <w:t>PRIORITY</w:t>
            </w:r>
            <w:r>
              <w:rPr>
                <w:b w:val="false"/>
                <w:i w:val="false"/>
                <w:caps w:val="false"/>
                <w:smallCaps w:val="false"/>
                <w:color w:val="0A0A0A"/>
                <w:spacing w:val="0"/>
                <w:sz w:val="22"/>
                <w:szCs w:val="22"/>
              </w:rPr>
              <w:t>. The handbook speaks of an enterprising spirit being kept alive in the members by the regular breaking of new ground. Is the praesidium tackling the most urgent needs? What more should the praesidium be doing?</w:t>
            </w:r>
          </w:p>
          <w:p>
            <w:pPr>
              <w:pStyle w:val="TableContents"/>
              <w:widowControl w:val="false"/>
              <w:suppressLineNumbers/>
              <w:suppressAutoHyphens w:val="true"/>
              <w:overflowPunct w:val="false"/>
              <w:bidi w:val="0"/>
              <w:spacing w:before="0" w:after="0"/>
              <w:ind w:hanging="0" w:left="89" w:right="-36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r>
          </w:p>
          <w:p>
            <w:pPr>
              <w:pStyle w:val="TableContents"/>
              <w:widowControl w:val="false"/>
              <w:suppressLineNumbers/>
              <w:suppressAutoHyphens w:val="true"/>
              <w:overflowPunct w:val="false"/>
              <w:bidi w:val="0"/>
              <w:spacing w:before="0" w:after="0"/>
              <w:ind w:hanging="0" w:left="8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Items to be considered at an annual planning meeting:</w:t>
            </w:r>
          </w:p>
          <w:p>
            <w:pPr>
              <w:pStyle w:val="TableContents"/>
              <w:widowControl w:val="false"/>
              <w:numPr>
                <w:ilvl w:val="0"/>
                <w:numId w:val="2"/>
              </w:numPr>
              <w:suppressLineNumbers/>
              <w:suppressAutoHyphens w:val="true"/>
              <w:overflowPunct w:val="false"/>
              <w:bidi w:val="0"/>
              <w:spacing w:before="0" w:after="0"/>
              <w:ind w:hanging="360" w:left="449" w:right="-36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Recruiting new members, active and auxiliary</w:t>
            </w:r>
          </w:p>
          <w:p>
            <w:pPr>
              <w:pStyle w:val="TableContents"/>
              <w:widowControl w:val="false"/>
              <w:numPr>
                <w:ilvl w:val="0"/>
                <w:numId w:val="2"/>
              </w:numPr>
              <w:suppressLineNumbers/>
              <w:bidi w:val="0"/>
              <w:ind w:hanging="360" w:left="449" w:right="0"/>
              <w:jc w:val="left"/>
              <w:rPr>
                <w:sz w:val="22"/>
                <w:szCs w:val="22"/>
              </w:rPr>
            </w:pPr>
            <w:r>
              <w:rPr>
                <w:b w:val="false"/>
                <w:i w:val="false"/>
                <w:caps w:val="false"/>
                <w:smallCaps w:val="false"/>
                <w:color w:val="0A0A0A"/>
                <w:spacing w:val="0"/>
                <w:sz w:val="22"/>
                <w:szCs w:val="22"/>
              </w:rPr>
              <w:t>Promoting Praetorian and Adjutorian membership and True Devotion to Mary</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Improving reports and study of the handbook</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Exploratio Dominicalis</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Auxiliary Rally</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Retreats</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Praesidium function in September, etc.</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Highlighting the feasts of the Patrons of the Legion as they occur</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Preparation of the annual report and deadline for the audit of funds</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Parish functions or events to which the praesidium could lend its support and assistance</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Introduction of new works for example, the Patricians; apostolate to young people</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Follow-up on works</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Dates for certain activities in connection with the works of the praesidium, for example; a Retreat, a Mass for the Sick, a Talk for non-Catholics</w:t>
            </w:r>
          </w:p>
          <w:p>
            <w:pPr>
              <w:pStyle w:val="TableContents"/>
              <w:widowControl w:val="false"/>
              <w:numPr>
                <w:ilvl w:val="0"/>
                <w:numId w:val="2"/>
              </w:numPr>
              <w:suppressLineNumbers/>
              <w:bidi w:val="0"/>
              <w:ind w:hanging="360" w:left="449" w:right="0"/>
              <w:jc w:val="left"/>
              <w:rPr>
                <w:rFonts w:ascii="Liberation Serif" w:hAnsi="Liberation Serif"/>
                <w:b w:val="false"/>
                <w:i w:val="false"/>
                <w:i w:val="false"/>
                <w:caps w:val="false"/>
                <w:smallCaps w:val="false"/>
                <w:color w:val="0A0A0A"/>
                <w:spacing w:val="0"/>
                <w:sz w:val="22"/>
                <w:szCs w:val="22"/>
              </w:rPr>
            </w:pPr>
            <w:r>
              <w:rPr>
                <w:b w:val="false"/>
                <w:i w:val="false"/>
                <w:caps w:val="false"/>
                <w:smallCaps w:val="false"/>
                <w:color w:val="0A0A0A"/>
                <w:spacing w:val="0"/>
                <w:sz w:val="22"/>
                <w:szCs w:val="22"/>
              </w:rPr>
              <w:t>Closing dates for the Peregrinatio Pro Christo</w:t>
            </w:r>
          </w:p>
          <w:p>
            <w:pPr>
              <w:pStyle w:val="TableContents"/>
              <w:widowControl w:val="false"/>
              <w:numPr>
                <w:ilvl w:val="0"/>
                <w:numId w:val="2"/>
              </w:numPr>
              <w:suppressLineNumbers/>
              <w:bidi w:val="0"/>
              <w:ind w:hanging="360" w:left="449" w:right="0"/>
              <w:jc w:val="left"/>
              <w:rPr>
                <w:sz w:val="22"/>
                <w:szCs w:val="22"/>
              </w:rPr>
            </w:pPr>
            <w:r>
              <w:rPr>
                <w:b w:val="false"/>
                <w:i w:val="false"/>
                <w:caps w:val="false"/>
                <w:smallCaps w:val="false"/>
                <w:color w:val="0A0A0A"/>
                <w:spacing w:val="0"/>
                <w:sz w:val="22"/>
                <w:szCs w:val="22"/>
              </w:rPr>
              <w:t>The development of the members and of the work is a priority. The handbook speaks of an enterprising spirit being kept alive in the members by the regular breaking of new ground. Is the praesidium tackling the most urgent needs? What more should the praesidium be doing?</w:t>
            </w:r>
          </w:p>
          <w:p>
            <w:pPr>
              <w:pStyle w:val="TableContents"/>
              <w:widowControl w:val="false"/>
              <w:suppressLineNumbers/>
              <w:bidi w:val="0"/>
              <w:ind w:hanging="360" w:left="449" w:right="0"/>
              <w:jc w:val="left"/>
              <w:rPr>
                <w:rFonts w:ascii="Liberation Serif" w:hAnsi="Liberation Serif"/>
                <w:sz w:val="22"/>
                <w:szCs w:val="22"/>
              </w:rPr>
            </w:pPr>
            <w:r>
              <w:rPr>
                <w:sz w:val="22"/>
                <w:szCs w:val="22"/>
              </w:rPr>
            </w:r>
          </w:p>
          <w:p>
            <w:pPr>
              <w:pStyle w:val="TableContents"/>
              <w:widowControl w:val="false"/>
              <w:suppressLineNumbers/>
              <w:bidi w:val="0"/>
              <w:ind w:hanging="360" w:left="449" w:right="0"/>
              <w:jc w:val="left"/>
              <w:rPr>
                <w:rFonts w:ascii="Liberation Serif" w:hAnsi="Liberation Serif"/>
                <w:sz w:val="22"/>
                <w:szCs w:val="22"/>
              </w:rPr>
            </w:pPr>
            <w:r>
              <w:rPr>
                <w:sz w:val="22"/>
                <w:szCs w:val="22"/>
              </w:rPr>
              <w:t>Each praesidium may have its own particular items for inclusion in the year’s programme</w:t>
            </w:r>
          </w:p>
        </w:tc>
      </w:tr>
      <w:tr>
        <w:trPr>
          <w:trHeight w:val="1387" w:hRule="atLeast"/>
        </w:trPr>
        <w:tc>
          <w:tcPr>
            <w:tcW w:w="1980" w:type="dxa"/>
            <w:tcBorders>
              <w:left w:val="single" w:sz="4" w:space="0" w:color="000000"/>
              <w:bottom w:val="single" w:sz="4" w:space="0" w:color="000000"/>
            </w:tcBorders>
          </w:tcPr>
          <w:p>
            <w:pPr>
              <w:pStyle w:val="BodyText"/>
              <w:widowControl w:val="false"/>
              <w:bidi w:val="0"/>
              <w:spacing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center"/>
              <w:rPr/>
            </w:pPr>
            <w:r>
              <w:rPr>
                <w:b/>
                <w:bCs/>
                <w:i w:val="false"/>
                <w:caps w:val="false"/>
                <w:smallCaps w:val="false"/>
                <w:spacing w:val="0"/>
                <w:sz w:val="28"/>
                <w:szCs w:val="28"/>
              </w:rPr>
              <w:t>Planning for the Council</w:t>
            </w:r>
          </w:p>
        </w:tc>
        <w:tc>
          <w:tcPr>
            <w:tcW w:w="9269" w:type="dxa"/>
            <w:tcBorders>
              <w:left w:val="single" w:sz="4" w:space="0" w:color="000000"/>
              <w:bottom w:val="single" w:sz="4" w:space="0" w:color="000000"/>
              <w:right w:val="single" w:sz="4" w:space="0" w:color="000000"/>
            </w:tcBorders>
          </w:tcPr>
          <w:p>
            <w:pPr>
              <w:pStyle w:val="BodyText"/>
              <w:widowControl w:val="false"/>
              <w:bidi w:val="0"/>
              <w:spacing w:lineRule="auto" w:line="240" w:before="0" w:after="0"/>
              <w:ind w:hanging="360" w:left="449" w:right="0"/>
              <w:jc w:val="left"/>
              <w:rPr>
                <w:sz w:val="22"/>
                <w:szCs w:val="22"/>
              </w:rPr>
            </w:pPr>
            <w:r>
              <w:rPr>
                <w:b w:val="false"/>
                <w:i w:val="false"/>
                <w:caps w:val="false"/>
                <w:smallCaps w:val="false"/>
                <w:spacing w:val="0"/>
                <w:sz w:val="22"/>
                <w:szCs w:val="22"/>
              </w:rPr>
              <w:t>In addition to above such items:</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Review appointment of officers of praesidia, elections – officer expiry dates in praesidia, councils</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Dates of legion Functions: Acies, Annual General Reunion, Annual Outing, Retreat, Congress etc</w:t>
            </w:r>
          </w:p>
          <w:p>
            <w:pPr>
              <w:pStyle w:val="BodyText"/>
              <w:widowControl w:val="false"/>
              <w:numPr>
                <w:ilvl w:val="0"/>
                <w:numId w:val="3"/>
              </w:numPr>
              <w:bidi w:val="0"/>
              <w:spacing w:lineRule="auto" w:line="240" w:before="0" w:after="0"/>
              <w:ind w:hanging="360" w:left="449" w:right="0"/>
              <w:jc w:val="left"/>
              <w:rPr>
                <w:sz w:val="22"/>
                <w:szCs w:val="22"/>
              </w:rPr>
            </w:pPr>
            <w:r>
              <w:rPr>
                <w:b w:val="false"/>
                <w:i w:val="false"/>
                <w:caps w:val="false"/>
                <w:smallCaps w:val="false"/>
                <w:spacing w:val="0"/>
                <w:sz w:val="22"/>
                <w:szCs w:val="22"/>
              </w:rPr>
              <w:t>Praesidia (and councils) to report each month - frequency of reports</w:t>
            </w:r>
          </w:p>
          <w:p>
            <w:pPr>
              <w:pStyle w:val="BodyText"/>
              <w:widowControl w:val="false"/>
              <w:numPr>
                <w:ilvl w:val="0"/>
                <w:numId w:val="3"/>
              </w:numPr>
              <w:bidi w:val="0"/>
              <w:spacing w:lineRule="auto" w:line="240" w:before="0" w:after="0"/>
              <w:ind w:hanging="360" w:left="449" w:right="0"/>
              <w:jc w:val="left"/>
              <w:rPr>
                <w:sz w:val="22"/>
                <w:szCs w:val="22"/>
              </w:rPr>
            </w:pPr>
            <w:r>
              <w:rPr>
                <w:b w:val="false"/>
                <w:i w:val="false"/>
                <w:caps w:val="false"/>
                <w:smallCaps w:val="false"/>
                <w:spacing w:val="0"/>
                <w:sz w:val="22"/>
                <w:szCs w:val="22"/>
              </w:rPr>
              <w:t>Visitation of praesidia and affiliated councils on the work of Extension of the Legion</w:t>
            </w:r>
          </w:p>
          <w:p>
            <w:pPr>
              <w:pStyle w:val="BodyText"/>
              <w:widowControl w:val="false"/>
              <w:numPr>
                <w:ilvl w:val="0"/>
                <w:numId w:val="3"/>
              </w:numPr>
              <w:bidi w:val="0"/>
              <w:spacing w:lineRule="auto" w:line="240" w:before="0" w:after="0"/>
              <w:ind w:hanging="360" w:left="449" w:right="0"/>
              <w:jc w:val="left"/>
              <w:rPr>
                <w:sz w:val="22"/>
                <w:szCs w:val="22"/>
              </w:rPr>
            </w:pPr>
            <w:r>
              <w:rPr>
                <w:b w:val="false"/>
                <w:i w:val="false"/>
                <w:caps w:val="false"/>
                <w:smallCaps w:val="false"/>
                <w:spacing w:val="0"/>
                <w:sz w:val="22"/>
                <w:szCs w:val="22"/>
              </w:rPr>
              <w:t>Deadline for audit of funds</w:t>
            </w:r>
          </w:p>
          <w:p>
            <w:pPr>
              <w:pStyle w:val="BodyText"/>
              <w:widowControl w:val="false"/>
              <w:numPr>
                <w:ilvl w:val="0"/>
                <w:numId w:val="3"/>
              </w:numPr>
              <w:bidi w:val="0"/>
              <w:spacing w:lineRule="auto" w:line="240" w:before="0" w:after="0"/>
              <w:ind w:hanging="360" w:left="449" w:right="0"/>
              <w:jc w:val="left"/>
              <w:rPr>
                <w:sz w:val="22"/>
                <w:szCs w:val="22"/>
              </w:rPr>
            </w:pPr>
            <w:r>
              <w:rPr>
                <w:b/>
                <w:bCs/>
                <w:i w:val="false"/>
                <w:caps w:val="false"/>
                <w:smallCaps w:val="false"/>
                <w:spacing w:val="0"/>
                <w:sz w:val="22"/>
                <w:szCs w:val="22"/>
              </w:rPr>
              <w:t>EXTENSION</w:t>
            </w:r>
            <w:r>
              <w:rPr>
                <w:b w:val="false"/>
                <w:i w:val="false"/>
                <w:caps w:val="false"/>
                <w:smallCaps w:val="false"/>
                <w:spacing w:val="0"/>
                <w:sz w:val="22"/>
                <w:szCs w:val="22"/>
              </w:rPr>
              <w:t xml:space="preserve"> - There is the great need to plan Extension and the development of the apostolate in the council area. It can be a great help to sit down with a map of the area and note the strengths and weaknesses both as regards places with or without the Legion and also in regard to the extent of the Legion apostolate.</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Do higher councils consider delegating responsibility for Extension in certain areas to affiliated councils?</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Is the Legion apostolate directed to the most urgent needs in the council area?</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Do the officers think that they have to do everything themselves?</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The handbook says: “the denial of some responsibility to those who are fit to assume it does injustice both to those individuals and to the whole Legion.” (28: 2: 16). The handbook also says that the consideration of new works forms an important part of a Curia.</w:t>
            </w:r>
          </w:p>
          <w:p>
            <w:pPr>
              <w:pStyle w:val="BodyText"/>
              <w:widowControl w:val="false"/>
              <w:numPr>
                <w:ilvl w:val="0"/>
                <w:numId w:val="3"/>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If planning is to be effective, it will be necessary to assign specific tasks to individual officers or members, who should be asked to account for them. Otherwise, plans may remain just that, plans.</w:t>
            </w:r>
          </w:p>
        </w:tc>
      </w:tr>
      <w:tr>
        <w:trPr/>
        <w:tc>
          <w:tcPr>
            <w:tcW w:w="1980" w:type="dxa"/>
            <w:tcBorders>
              <w:left w:val="single" w:sz="4" w:space="0" w:color="000000"/>
              <w:bottom w:val="single" w:sz="4" w:space="0" w:color="000000"/>
            </w:tcBorders>
          </w:tcPr>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suppressAutoHyphens w:val="true"/>
              <w:overflowPunct w:val="false"/>
              <w:bidi w:val="0"/>
              <w:spacing w:lineRule="auto" w:line="276" w:before="0" w:after="140"/>
              <w:ind w:hanging="0" w:left="0" w:right="180"/>
              <w:jc w:val="center"/>
              <w:rPr>
                <w:b/>
                <w:i w:val="false"/>
                <w:i w:val="false"/>
                <w:caps w:val="false"/>
                <w:smallCaps w:val="false"/>
                <w:spacing w:val="0"/>
                <w:sz w:val="28"/>
                <w:szCs w:val="28"/>
              </w:rPr>
            </w:pPr>
            <w:r>
              <w:rPr>
                <w:b/>
                <w:i w:val="false"/>
                <w:caps w:val="false"/>
                <w:smallCaps w:val="false"/>
                <w:spacing w:val="0"/>
                <w:sz w:val="28"/>
                <w:szCs w:val="28"/>
              </w:rPr>
              <w:t>Works for consideration for 2024</w:t>
            </w:r>
          </w:p>
        </w:tc>
        <w:tc>
          <w:tcPr>
            <w:tcW w:w="9269" w:type="dxa"/>
            <w:tcBorders>
              <w:left w:val="single" w:sz="4" w:space="0" w:color="000000"/>
              <w:bottom w:val="single" w:sz="4" w:space="0" w:color="000000"/>
              <w:right w:val="single" w:sz="4" w:space="0" w:color="000000"/>
            </w:tcBorders>
          </w:tcPr>
          <w:p>
            <w:pPr>
              <w:pStyle w:val="BodyText"/>
              <w:widowControl w:val="false"/>
              <w:numPr>
                <w:ilvl w:val="0"/>
                <w:numId w:val="0"/>
              </w:numPr>
              <w:bidi w:val="0"/>
              <w:spacing w:lineRule="auto" w:line="240" w:before="0" w:after="0"/>
              <w:ind w:hanging="0" w:left="89" w:right="0"/>
              <w:jc w:val="left"/>
              <w:rPr>
                <w:sz w:val="22"/>
                <w:szCs w:val="22"/>
              </w:rPr>
            </w:pPr>
            <w:r>
              <w:rPr>
                <w:sz w:val="22"/>
                <w:szCs w:val="22"/>
              </w:rPr>
              <w:t xml:space="preserve">Make our best efforts regarding the plans that our </w:t>
            </w:r>
            <w:r>
              <w:rPr>
                <w:b/>
                <w:bCs/>
                <w:sz w:val="22"/>
                <w:szCs w:val="22"/>
              </w:rPr>
              <w:t>BLESSED MOTHER</w:t>
            </w:r>
            <w:r>
              <w:rPr>
                <w:sz w:val="22"/>
                <w:szCs w:val="22"/>
              </w:rPr>
              <w:t xml:space="preserve"> wishes to see come to fruition for the Legion of Mary, and the role that all we have, individually and collectively, from praesidium upwards, in all these plans for the year ahead.</w:t>
            </w:r>
          </w:p>
          <w:p>
            <w:pPr>
              <w:pStyle w:val="BodyText"/>
              <w:widowControl w:val="false"/>
              <w:bidi w:val="0"/>
              <w:spacing w:lineRule="auto" w:line="240" w:before="0" w:after="0"/>
              <w:ind w:hanging="0" w:left="89" w:right="0"/>
              <w:jc w:val="left"/>
              <w:rPr>
                <w:sz w:val="12"/>
                <w:szCs w:val="12"/>
              </w:rPr>
            </w:pPr>
            <w:r>
              <w:rPr>
                <w:sz w:val="12"/>
                <w:szCs w:val="12"/>
              </w:rPr>
            </w:r>
          </w:p>
          <w:p>
            <w:pPr>
              <w:pStyle w:val="BodyText"/>
              <w:widowControl w:val="false"/>
              <w:bidi w:val="0"/>
              <w:spacing w:lineRule="auto" w:line="240" w:before="0" w:after="0"/>
              <w:ind w:hanging="0" w:left="89" w:right="0"/>
              <w:jc w:val="left"/>
              <w:rPr>
                <w:sz w:val="22"/>
                <w:szCs w:val="22"/>
              </w:rPr>
            </w:pPr>
            <w:r>
              <w:rPr>
                <w:sz w:val="22"/>
                <w:szCs w:val="22"/>
              </w:rPr>
              <w:t>Proverbs 16:1-3 tells us “Commit to the Lord whatever you do and your plans will succeed.” Frank Duff advised that plans be brought from the officers” meeting to the praesidium or council and implementation as approved. Proverbs 15:22 informs us “Without counsel plans fail, but, with many advisers, they succeed.”</w:t>
            </w:r>
          </w:p>
          <w:p>
            <w:pPr>
              <w:pStyle w:val="BodyText"/>
              <w:widowControl w:val="false"/>
              <w:bidi w:val="0"/>
              <w:spacing w:lineRule="auto" w:line="240" w:before="0" w:after="0"/>
              <w:ind w:hanging="0" w:left="89" w:right="0"/>
              <w:jc w:val="left"/>
              <w:rPr>
                <w:sz w:val="12"/>
                <w:szCs w:val="12"/>
              </w:rPr>
            </w:pPr>
            <w:r>
              <w:rPr>
                <w:sz w:val="12"/>
                <w:szCs w:val="12"/>
              </w:rPr>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How are we doing regarding crowd contact such as street contact, home visitation, and extension work? The suggestion of considering a map of the area as councils consider the extent of the Legion apostolate in an area is very helpful. Having a knowledge of the scheduling of local festivals and local events such as the marking of feast days of local Saints etc. could provide us with great opportunities for crowd contact.</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2023 – 2025 marks the 350th Anniversary of the Apparitions of the Sacred Heart of Jesus to St. Margaret Mary Alacoque. Could we in the Legion of Mary decide that we will resolve to begin as soon as we can the establishment, throughout the world, of as many Sodalities to the Sacred Heart of Jesus as possible? How pleased would our Blessed Mother be to see Her Son honoured in such a way at this very special time? It may well be a work that would particularly suit some legionaries, and would be a most beautiful and wonderful way of contributing to the expansion of our works.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How active are we in the promotion of Enthronement of the Sacred Heart of Jesus in homes? Do we need to consult with our Spiritual Director or the priest in the parish about this?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How are we doing if we happen to be a praesidium- attached to a Pioneer Centre- for the purpose of promoting and recruiting for the Pioneer Total Abstinence Association of the Sacred Heart of Jesus?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Could we perhaps consider establishing a junior praesidium in 2024?</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Are we promoting the practice of daily Mass and devotion to the Blessed Sacrament?</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How are we faring regarding recruitment and after-care of auxiliary members?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Are we promoting praetorian and adjutorian membership?</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Perhaps there are retired priests in our parish whom our Blessed Mother would like The Legion of Mary to visit?</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Is Pilgrim Statue Visitation a new work that we could incorporate into our plan for 2024?</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Could we be offering support to people who have recently been bereaved?</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Could we be visiting people in a local prison?</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Are we visiting hospitals, including psychiatric hospitals?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Perhaps we could look at establishing a Frank Duff prayer group, to be held once every two or three months to begin with even, and then maybe on a monthly basis as time proceeds.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Could we maybe set up a book- barrow?</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Could we think of maybe running Patrician Meetings?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How are we faring regarding serving the particular needs of the place in which we find ourselves? It could be of great benefit for us to check what other groups in our parish are doing also as we prioritise and plan our works.</w:t>
            </w:r>
          </w:p>
          <w:p>
            <w:pPr>
              <w:pStyle w:val="Body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Are we actively promoting Maria Legionis as we should? How many subscribers do we have? Could some legionaries perhaps write an article for Maria Legionis in the new year?</w:t>
            </w:r>
          </w:p>
        </w:tc>
      </w:tr>
      <w:tr>
        <w:trPr/>
        <w:tc>
          <w:tcPr>
            <w:tcW w:w="1980" w:type="dxa"/>
            <w:tcBorders>
              <w:left w:val="single" w:sz="4" w:space="0" w:color="000000"/>
              <w:bottom w:val="single" w:sz="4" w:space="0" w:color="000000"/>
            </w:tcBorders>
          </w:tcPr>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numPr>
                <w:ilvl w:val="0"/>
                <w:numId w:val="0"/>
              </w:numPr>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t>Planning of Masses, functions and activities for 2024</w:t>
            </w:r>
          </w:p>
        </w:tc>
        <w:tc>
          <w:tcPr>
            <w:tcW w:w="9269" w:type="dxa"/>
            <w:tcBorders>
              <w:left w:val="single" w:sz="4" w:space="0" w:color="000000"/>
              <w:bottom w:val="single" w:sz="4" w:space="0" w:color="000000"/>
              <w:right w:val="single" w:sz="4" w:space="0" w:color="000000"/>
            </w:tcBorders>
          </w:tcPr>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Bringing along to the annual planning meeting a religious calendar (as at least one very experienced legionary regularly does at meetings, and thus prompted this thought!) which notes all religious feast days could be a very practical way of speedily securing potential dates for some of the following which could then be confirmed with the priest or spiritual director.</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The Acies be held on or as near as possible to Feast of the Annunciation (25th March 2024).</w:t>
            </w:r>
          </w:p>
          <w:p>
            <w:pPr>
              <w:pStyle w:val="BodyText"/>
              <w:widowControl w:val="false"/>
              <w:numPr>
                <w:ilvl w:val="0"/>
                <w:numId w:val="6"/>
              </w:numPr>
              <w:tabs>
                <w:tab w:val="clear" w:pos="709"/>
                <w:tab w:val="left" w:pos="450" w:leader="none"/>
              </w:tabs>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Organising 24-Hour Adoration and/or a Procession on the Feast of the Sacred Heart of Jesus  (Friday 7th June 2024).</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Planning for promotion of and Enrollment in the Brown Scapular for the Feast of Our Lady of Mount Carmel (Tuesday 16th July 2024).</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The handbook strongly recommends that each praesidium holds a social function around the Feast of the Nativity of Our Lady (Sunday 8th September 2024).</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Promotion of the Feast of the Miraculous Medal (Wednesday 27th November 2024) by various means such as promotion or leading the rosary, a triduum, a novena, and distribution of Miraculous Medals and novena leaflets.</w:t>
            </w:r>
          </w:p>
          <w:p>
            <w:pPr>
              <w:pStyle w:val="BodyText"/>
              <w:widowControl w:val="false"/>
              <w:numPr>
                <w:ilvl w:val="0"/>
                <w:numId w:val="6"/>
              </w:numPr>
              <w:tabs>
                <w:tab w:val="clear" w:pos="709"/>
                <w:tab w:val="left" w:pos="450" w:leader="none"/>
              </w:tabs>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Scheduling the Annual General Reunion on, or as close as possible to Feast of the Immaculate Conception (Sunday 8th December 2024).</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Scheduling Rosary and Carol Service at the Crib for December 2024.</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Is the Comitium or Curia due to hold a Congress?</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Establishing dates for the celebration of Masses for the three Causes, extension work, Exploratio Dominicalis, retreats, the summer outing etc.</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Scheduling of- and distributing to all relevant officers and legionaries- the dates and times for pre- Curia, Curia and other council meetings.</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An understood awareness that we will all report at the end of the year on the set targets that emerge from the planning meeting will hopefully make the system more efficient, while strengthening us in our focus on remaining close to our Lady and listening for, and to, the whisperings and promptings of the Holy Spirit as we march on as legionaries for our Blessed Mother in the year that awaits us.</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May we remain constantly open to the promptings of God and our Blessed Mother regarding additional works for which- beyond those that emerge from the annual planning meeting- we may be called upon at any time to plan, carry out and follow-up on. These all come from the infinite love of God and our Blessed Mother for all.</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It is most exciting to muse upon the fact that God and our Blessed Mother are offering us all a vast array of opportunities for 2024, and most consoling that all that is asked of us is our “Yes” in response. They will help us from there on.</w:t>
            </w:r>
          </w:p>
        </w:tc>
      </w:tr>
    </w:tbl>
    <w:p>
      <w:pPr>
        <w:pStyle w:val="Normal"/>
        <w:bidi w:val="0"/>
        <w:jc w:val="left"/>
        <w:rPr/>
      </w:pPr>
      <w:r>
        <w:rPr/>
      </w:r>
    </w:p>
    <w:sectPr>
      <w:headerReference w:type="default" r:id="rId4"/>
      <w:footerReference w:type="default" r:id="rId5"/>
      <w:type w:val="nextPage"/>
      <w:pgSz w:w="12240" w:h="15840"/>
      <w:pgMar w:left="1134" w:right="1134" w:gutter="0" w:header="1134" w:top="1192" w:footer="720" w:bottom="778"/>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Times New Roman">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center"/>
      <w:rPr/>
    </w:pPr>
    <w:r>
      <w:rPr/>
      <w:fldChar w:fldCharType="begin"/>
    </w:r>
    <w:r>
      <w:rPr/>
      <w:instrText xml:space="preserve"> PAGE </w:instrText>
    </w:r>
    <w:r>
      <w:rPr/>
      <w:fldChar w:fldCharType="separate"/>
    </w:r>
    <w:r>
      <w:rPr/>
      <w:t>4</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uppressLineNumbers/>
      <w:bidi w:val="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numPicBullet w:numPicBulletId="0">
    <w:pict>
      <v:shape style="width:7.5pt;height:7.5pt" o:bullet="t">
        <v:imagedata r:id="rId1" o:title=""/>
      </v:shape>
    </w:pict>
  </w:numPicBullet>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bullet"/>
      <w:lvlText w:val="•"/>
      <w:lvlPicBulletId w:val="0"/>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PicBulletId w:val="0"/>
      <w:lvlJc w:val="left"/>
      <w:pPr>
        <w:tabs>
          <w:tab w:val="num" w:pos="809"/>
        </w:tabs>
        <w:ind w:left="809" w:hanging="360"/>
      </w:pPr>
      <w:rPr>
        <w:rFonts w:ascii="Symbol" w:hAnsi="Symbol" w:cs="Symbol" w:hint="default"/>
      </w:rPr>
    </w:lvl>
    <w:lvl w:ilvl="1">
      <w:start w:val="1"/>
      <w:numFmt w:val="bullet"/>
      <w:lvlText w:val="◦"/>
      <w:lvlJc w:val="left"/>
      <w:pPr>
        <w:tabs>
          <w:tab w:val="num" w:pos="1169"/>
        </w:tabs>
        <w:ind w:left="1169" w:hanging="360"/>
      </w:pPr>
      <w:rPr>
        <w:rFonts w:ascii="OpenSymbol" w:hAnsi="OpenSymbol" w:cs="OpenSymbol" w:hint="default"/>
      </w:rPr>
    </w:lvl>
    <w:lvl w:ilvl="2">
      <w:start w:val="1"/>
      <w:numFmt w:val="bullet"/>
      <w:lvlText w:val="▪"/>
      <w:lvlJc w:val="left"/>
      <w:pPr>
        <w:tabs>
          <w:tab w:val="num" w:pos="1529"/>
        </w:tabs>
        <w:ind w:left="1529" w:hanging="360"/>
      </w:pPr>
      <w:rPr>
        <w:rFonts w:ascii="OpenSymbol" w:hAnsi="OpenSymbol" w:cs="OpenSymbol" w:hint="default"/>
      </w:rPr>
    </w:lvl>
    <w:lvl w:ilvl="3">
      <w:start w:val="1"/>
      <w:numFmt w:val="bullet"/>
      <w:lvlText w:val=""/>
      <w:lvlJc w:val="left"/>
      <w:pPr>
        <w:tabs>
          <w:tab w:val="num" w:pos="1889"/>
        </w:tabs>
        <w:ind w:left="1889" w:hanging="360"/>
      </w:pPr>
      <w:rPr>
        <w:rFonts w:ascii="Symbol" w:hAnsi="Symbol" w:cs="Symbol" w:hint="default"/>
      </w:rPr>
    </w:lvl>
    <w:lvl w:ilvl="4">
      <w:start w:val="1"/>
      <w:numFmt w:val="bullet"/>
      <w:lvlText w:val="◦"/>
      <w:lvlJc w:val="left"/>
      <w:pPr>
        <w:tabs>
          <w:tab w:val="num" w:pos="2249"/>
        </w:tabs>
        <w:ind w:left="2249" w:hanging="360"/>
      </w:pPr>
      <w:rPr>
        <w:rFonts w:ascii="OpenSymbol" w:hAnsi="OpenSymbol" w:cs="OpenSymbol" w:hint="default"/>
      </w:rPr>
    </w:lvl>
    <w:lvl w:ilvl="5">
      <w:start w:val="1"/>
      <w:numFmt w:val="bullet"/>
      <w:lvlText w:val="▪"/>
      <w:lvlJc w:val="left"/>
      <w:pPr>
        <w:tabs>
          <w:tab w:val="num" w:pos="2609"/>
        </w:tabs>
        <w:ind w:left="2609" w:hanging="360"/>
      </w:pPr>
      <w:rPr>
        <w:rFonts w:ascii="OpenSymbol" w:hAnsi="OpenSymbol" w:cs="OpenSymbol" w:hint="default"/>
      </w:rPr>
    </w:lvl>
    <w:lvl w:ilvl="6">
      <w:start w:val="1"/>
      <w:numFmt w:val="bullet"/>
      <w:lvlText w:val=""/>
      <w:lvlJc w:val="left"/>
      <w:pPr>
        <w:tabs>
          <w:tab w:val="num" w:pos="2969"/>
        </w:tabs>
        <w:ind w:left="2969" w:hanging="360"/>
      </w:pPr>
      <w:rPr>
        <w:rFonts w:ascii="Symbol" w:hAnsi="Symbol" w:cs="Symbol" w:hint="default"/>
      </w:rPr>
    </w:lvl>
    <w:lvl w:ilvl="7">
      <w:start w:val="1"/>
      <w:numFmt w:val="bullet"/>
      <w:lvlText w:val="◦"/>
      <w:lvlJc w:val="left"/>
      <w:pPr>
        <w:tabs>
          <w:tab w:val="num" w:pos="3329"/>
        </w:tabs>
        <w:ind w:left="3329" w:hanging="360"/>
      </w:pPr>
      <w:rPr>
        <w:rFonts w:ascii="OpenSymbol" w:hAnsi="OpenSymbol" w:cs="OpenSymbol" w:hint="default"/>
      </w:rPr>
    </w:lvl>
    <w:lvl w:ilvl="8">
      <w:start w:val="1"/>
      <w:numFmt w:val="bullet"/>
      <w:lvlText w:val="▪"/>
      <w:lvlJc w:val="left"/>
      <w:pPr>
        <w:tabs>
          <w:tab w:val="num" w:pos="3689"/>
        </w:tabs>
        <w:ind w:left="3689" w:hanging="360"/>
      </w:pPr>
      <w:rPr>
        <w:rFonts w:ascii="OpenSymbol" w:hAnsi="OpenSymbol" w:cs="OpenSymbol" w:hint="default"/>
      </w:rPr>
    </w:lvl>
  </w:abstractNum>
  <w:abstractNum w:abstractNumId="4">
    <w:lvl w:ilvl="0">
      <w:start w:val="1"/>
      <w:numFmt w:val="bullet"/>
      <w:lvlText w:val="•"/>
      <w:lvlPicBulletId w:val="0"/>
      <w:lvlJc w:val="left"/>
      <w:pPr>
        <w:tabs>
          <w:tab w:val="num" w:pos="809"/>
        </w:tabs>
        <w:ind w:left="809" w:hanging="360"/>
      </w:pPr>
      <w:rPr>
        <w:rFonts w:ascii="Symbol" w:hAnsi="Symbol" w:cs="Symbol" w:hint="default"/>
      </w:rPr>
    </w:lvl>
    <w:lvl w:ilvl="1">
      <w:start w:val="1"/>
      <w:numFmt w:val="bullet"/>
      <w:lvlText w:val="◦"/>
      <w:lvlJc w:val="left"/>
      <w:pPr>
        <w:tabs>
          <w:tab w:val="num" w:pos="1169"/>
        </w:tabs>
        <w:ind w:left="1169" w:hanging="360"/>
      </w:pPr>
      <w:rPr>
        <w:rFonts w:ascii="OpenSymbol" w:hAnsi="OpenSymbol" w:cs="OpenSymbol" w:hint="default"/>
      </w:rPr>
    </w:lvl>
    <w:lvl w:ilvl="2">
      <w:start w:val="1"/>
      <w:numFmt w:val="bullet"/>
      <w:lvlText w:val="▪"/>
      <w:lvlJc w:val="left"/>
      <w:pPr>
        <w:tabs>
          <w:tab w:val="num" w:pos="1529"/>
        </w:tabs>
        <w:ind w:left="1529" w:hanging="360"/>
      </w:pPr>
      <w:rPr>
        <w:rFonts w:ascii="OpenSymbol" w:hAnsi="OpenSymbol" w:cs="OpenSymbol" w:hint="default"/>
      </w:rPr>
    </w:lvl>
    <w:lvl w:ilvl="3">
      <w:start w:val="1"/>
      <w:numFmt w:val="bullet"/>
      <w:lvlText w:val=""/>
      <w:lvlJc w:val="left"/>
      <w:pPr>
        <w:tabs>
          <w:tab w:val="num" w:pos="1889"/>
        </w:tabs>
        <w:ind w:left="1889" w:hanging="360"/>
      </w:pPr>
      <w:rPr>
        <w:rFonts w:ascii="Symbol" w:hAnsi="Symbol" w:cs="Symbol" w:hint="default"/>
      </w:rPr>
    </w:lvl>
    <w:lvl w:ilvl="4">
      <w:start w:val="1"/>
      <w:numFmt w:val="bullet"/>
      <w:lvlText w:val="◦"/>
      <w:lvlJc w:val="left"/>
      <w:pPr>
        <w:tabs>
          <w:tab w:val="num" w:pos="2249"/>
        </w:tabs>
        <w:ind w:left="2249" w:hanging="360"/>
      </w:pPr>
      <w:rPr>
        <w:rFonts w:ascii="OpenSymbol" w:hAnsi="OpenSymbol" w:cs="OpenSymbol" w:hint="default"/>
      </w:rPr>
    </w:lvl>
    <w:lvl w:ilvl="5">
      <w:start w:val="1"/>
      <w:numFmt w:val="bullet"/>
      <w:lvlText w:val="▪"/>
      <w:lvlJc w:val="left"/>
      <w:pPr>
        <w:tabs>
          <w:tab w:val="num" w:pos="2609"/>
        </w:tabs>
        <w:ind w:left="2609" w:hanging="360"/>
      </w:pPr>
      <w:rPr>
        <w:rFonts w:ascii="OpenSymbol" w:hAnsi="OpenSymbol" w:cs="OpenSymbol" w:hint="default"/>
      </w:rPr>
    </w:lvl>
    <w:lvl w:ilvl="6">
      <w:start w:val="1"/>
      <w:numFmt w:val="bullet"/>
      <w:lvlText w:val=""/>
      <w:lvlJc w:val="left"/>
      <w:pPr>
        <w:tabs>
          <w:tab w:val="num" w:pos="2969"/>
        </w:tabs>
        <w:ind w:left="2969" w:hanging="360"/>
      </w:pPr>
      <w:rPr>
        <w:rFonts w:ascii="Symbol" w:hAnsi="Symbol" w:cs="Symbol" w:hint="default"/>
      </w:rPr>
    </w:lvl>
    <w:lvl w:ilvl="7">
      <w:start w:val="1"/>
      <w:numFmt w:val="bullet"/>
      <w:lvlText w:val="◦"/>
      <w:lvlJc w:val="left"/>
      <w:pPr>
        <w:tabs>
          <w:tab w:val="num" w:pos="3329"/>
        </w:tabs>
        <w:ind w:left="3329" w:hanging="360"/>
      </w:pPr>
      <w:rPr>
        <w:rFonts w:ascii="OpenSymbol" w:hAnsi="OpenSymbol" w:cs="OpenSymbol" w:hint="default"/>
      </w:rPr>
    </w:lvl>
    <w:lvl w:ilvl="8">
      <w:start w:val="1"/>
      <w:numFmt w:val="bullet"/>
      <w:lvlText w:val="▪"/>
      <w:lvlJc w:val="left"/>
      <w:pPr>
        <w:tabs>
          <w:tab w:val="num" w:pos="3689"/>
        </w:tabs>
        <w:ind w:left="3689" w:hanging="360"/>
      </w:pPr>
      <w:rPr>
        <w:rFonts w:ascii="OpenSymbol" w:hAnsi="OpenSymbol" w:cs="OpenSymbol" w:hint="default"/>
      </w:rPr>
    </w:lvl>
  </w:abstractNum>
  <w:abstractNum w:abstractNumId="5">
    <w:lvl w:ilvl="0">
      <w:start w:val="1"/>
      <w:numFmt w:val="bullet"/>
      <w:lvlText w:val="•"/>
      <w:lvlPicBulletId w:val="0"/>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PicBulletId w:val="0"/>
      <w:lvlJc w:val="left"/>
      <w:pPr>
        <w:tabs>
          <w:tab w:val="num" w:pos="720"/>
        </w:tabs>
        <w:ind w:left="720" w:hanging="360"/>
      </w:pPr>
      <w:rPr>
        <w:rFonts w:ascii="Symbol" w:hAnsi="Symbol" w:cs="Symbol" w:hint="default"/>
      </w:rPr>
    </w:lvl>
    <w:lvl w:ilvl="1">
      <w:start w:val="1"/>
      <w:numFmt w:val="bullet"/>
      <w:lvlText w:val="◦"/>
      <w:lvlPicBulletId w:val="0"/>
      <w:lvlJc w:val="left"/>
      <w:pPr>
        <w:tabs>
          <w:tab w:val="num" w:pos="1080"/>
        </w:tabs>
        <w:ind w:left="1080" w:hanging="360"/>
      </w:pPr>
      <w:rPr>
        <w:rFonts w:ascii="OpenSymbol" w:hAnsi="OpenSymbol" w:cs="OpenSymbol" w:hint="default"/>
      </w:rPr>
    </w:lvl>
    <w:lvl w:ilvl="2">
      <w:start w:val="1"/>
      <w:numFmt w:val="bullet"/>
      <w:lvlText w:val="▪"/>
      <w:lvlPicBulletId w:val="0"/>
      <w:lvlJc w:val="left"/>
      <w:pPr>
        <w:tabs>
          <w:tab w:val="num" w:pos="1440"/>
        </w:tabs>
        <w:ind w:left="1440" w:hanging="360"/>
      </w:pPr>
      <w:rPr>
        <w:rFonts w:ascii="OpenSymbol" w:hAnsi="OpenSymbol" w:cs="OpenSymbol" w:hint="default"/>
      </w:rPr>
    </w:lvl>
    <w:lvl w:ilvl="3">
      <w:start w:val="1"/>
      <w:numFmt w:val="bullet"/>
      <w:lvlText w:val="•"/>
      <w:lvlPicBulletId w:val="0"/>
      <w:lvlJc w:val="left"/>
      <w:pPr>
        <w:tabs>
          <w:tab w:val="num" w:pos="1800"/>
        </w:tabs>
        <w:ind w:left="1800" w:hanging="360"/>
      </w:pPr>
      <w:rPr>
        <w:rFonts w:ascii="Symbol" w:hAnsi="Symbol" w:cs="Symbol" w:hint="default"/>
      </w:rPr>
    </w:lvl>
    <w:lvl w:ilvl="4">
      <w:start w:val="1"/>
      <w:numFmt w:val="bullet"/>
      <w:lvlText w:val="◦"/>
      <w:lvlPicBulletId w:val="0"/>
      <w:lvlJc w:val="left"/>
      <w:pPr>
        <w:tabs>
          <w:tab w:val="num" w:pos="2160"/>
        </w:tabs>
        <w:ind w:left="2160" w:hanging="360"/>
      </w:pPr>
      <w:rPr>
        <w:rFonts w:ascii="OpenSymbol" w:hAnsi="OpenSymbol" w:cs="OpenSymbol" w:hint="default"/>
      </w:rPr>
    </w:lvl>
    <w:lvl w:ilvl="5">
      <w:start w:val="1"/>
      <w:numFmt w:val="bullet"/>
      <w:lvlText w:val="▪"/>
      <w:lvlPicBulletId w:val="0"/>
      <w:lvlJc w:val="left"/>
      <w:pPr>
        <w:tabs>
          <w:tab w:val="num" w:pos="2520"/>
        </w:tabs>
        <w:ind w:left="2520" w:hanging="360"/>
      </w:pPr>
      <w:rPr>
        <w:rFonts w:ascii="OpenSymbol" w:hAnsi="OpenSymbol" w:cs="OpenSymbol" w:hint="default"/>
      </w:rPr>
    </w:lvl>
    <w:lvl w:ilvl="6">
      <w:start w:val="1"/>
      <w:numFmt w:val="bullet"/>
      <w:lvlText w:val="•"/>
      <w:lvlPicBulletId w:val="0"/>
      <w:lvlJc w:val="left"/>
      <w:pPr>
        <w:tabs>
          <w:tab w:val="num" w:pos="2880"/>
        </w:tabs>
        <w:ind w:left="2880" w:hanging="360"/>
      </w:pPr>
      <w:rPr>
        <w:rFonts w:ascii="Symbol" w:hAnsi="Symbol" w:cs="Symbol" w:hint="default"/>
      </w:rPr>
    </w:lvl>
    <w:lvl w:ilvl="7">
      <w:start w:val="1"/>
      <w:numFmt w:val="bullet"/>
      <w:lvlText w:val="◦"/>
      <w:lvlPicBulletId w:val="0"/>
      <w:lvlJc w:val="left"/>
      <w:pPr>
        <w:tabs>
          <w:tab w:val="num" w:pos="3240"/>
        </w:tabs>
        <w:ind w:left="3240" w:hanging="360"/>
      </w:pPr>
      <w:rPr>
        <w:rFonts w:ascii="OpenSymbol" w:hAnsi="OpenSymbol" w:cs="OpenSymbol" w:hint="default"/>
      </w:rPr>
    </w:lvl>
    <w:lvl w:ilvl="8">
      <w:start w:val="1"/>
      <w:numFmt w:val="bullet"/>
      <w:lvlText w:val="▪"/>
      <w:lvlPicBulletId w:val="0"/>
      <w:lvlJc w:val="left"/>
      <w:pPr>
        <w:tabs>
          <w:tab w:val="num" w:pos="3600"/>
        </w:tabs>
        <w:ind w:left="3600" w:hanging="360"/>
      </w:pPr>
      <w:rPr>
        <w:rFonts w:ascii="OpenSymbol" w:hAnsi="OpenSymbol" w:cs="OpenSymbol"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5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en-US"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Bullets">
    <w:name w:val="Bullets"/>
    <w:qFormat/>
    <w:rPr/>
  </w:style>
  <w:style w:type="character" w:styleId="NumberingSymbols">
    <w:name w:val="Numbering Symbols"/>
    <w:qFormat/>
    <w:rPr/>
  </w:style>
  <w:style w:type="character" w:styleId="Hyperlink">
    <w:name w:val="Hyperlink"/>
    <w:rPr>
      <w:color w:val="000080"/>
      <w:u w:val="single"/>
      <w:lang w:val="zxx" w:eastAsia="zxx" w:bidi="zxx"/>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 w:type="paragraph" w:styleId="TableHeading">
    <w:name w:val="Table Heading"/>
    <w:basedOn w:val="TableContents"/>
    <w:qFormat/>
    <w:pPr>
      <w:suppressLineNumbers/>
      <w:jc w:val="center"/>
    </w:pPr>
    <w:rPr>
      <w:b/>
      <w:bCs/>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legionofmary.ie/news/article/concilium-bulletin-november-2023"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numbering.xml.rels><?xml version="1.0" encoding="UTF-8"?>
<Relationships xmlns="http://schemas.openxmlformats.org/package/2006/relationships"><Relationship Id="rId1" Type="http://schemas.openxmlformats.org/officeDocument/2006/relationships/image" Target="media/image2.gif"/>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3381</TotalTime>
  <Application>LibreOffice/7.6.4.1$Linux_X86_64 LibreOffice_project/60$Build-1</Application>
  <AppVersion>15.0000</AppVersion>
  <Pages>4</Pages>
  <Words>1763</Words>
  <Characters>8531</Characters>
  <CharactersWithSpaces>10153</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2024-01-10T23:04:36Z</dcterms:created>
  <dc:creator/>
  <dc:description/>
  <dc:language>en-US</dc:language>
  <cp:lastModifiedBy/>
  <dcterms:modified xsi:type="dcterms:W3CDTF">2024-02-17T13:26:29Z</dcterms:modified>
  <cp:revision>41</cp:revision>
  <dc:subject/>
  <dc:title/>
</cp:coreProperties>
</file>

<file path=docProps/custom.xml><?xml version="1.0" encoding="utf-8"?>
<Properties xmlns="http://schemas.openxmlformats.org/officeDocument/2006/custom-properties" xmlns:vt="http://schemas.openxmlformats.org/officeDocument/2006/docPropsVTypes"/>
</file>